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от 25 октября 2013 года № 109 с.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441C8A" w:rsidRPr="00441C8A" w:rsidRDefault="00441C8A" w:rsidP="00441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ВНЕСЕНИИ ИЗМЕНЕНИЙ В ПОЛОЖЕНИЕ «ОБ УСТАНОВЛЕНИИ СИСТЕМЫ 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ОПЛАТЫ ТРУДА РАБОТНИКОВ ОРГАНОВ МЕСТНОГО САМОУПРАВЛЕНИЯ 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КРЕМЕНСКОЕ», ЗАМЕЩАЮЩИХ ДОЛЖНОСТИ, 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НЕ ЯВЛЯЮЩИЕСЯ ДОЛЖНОСТЯМИ МУНИЦИПАЛЬНОЙ СЛУЖБЫ»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Рассмотрев обращение Главы администрации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и руководствуясь действующим законодательством,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441C8A" w:rsidRPr="00441C8A" w:rsidRDefault="00441C8A" w:rsidP="00441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1.Внести в Положение «Об установлении системы оплаты труда работников органов местного самоуправления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», замещающих должности, не являющиеся должностями муниципальной службы», утвержденное Решением Сельской Думы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от 28.06.2013 г. № 103, изменения, изложив его в новой редакции в соответствии Приложением 1 к настоящему Решению.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Настоящее Решение распространяется на правоотношения, возникшие с 1 октября 2013 года.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Приложение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к Решению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Сельской Думы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От 25.10.2013 г. № 109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ПОЛОЖЕНИЕ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"ОБ УСТАНОВЛЕНИИ СИСТЕМЫ ОПЛАТЫ ТРУДА РАБОТНИКОВ 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ОРГАНОВ МЕСТНОГО САМОУПРАВЛЕНИЯ СЕЛЬСКОГО ПОСЕНИЯ «СЕЛО КРЕМЕНСКОЕ», 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ЗАМЕЩАЮЩИХ ДОЛЖНОСТИ, , НЕ ЯВЛЯЮЩИЕСЯ ДОЛЖНОСТЯМИ 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МУНИЦИПАЛЬНОЙ СЛУЖБЫ.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Настоящее Положение устанавливает систему оплаты труда работников администрации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(далее - органы местного замещающих должности, не являющие должностями муниципальной службы МР "Тарусский район" (далее - обеспечивающие работники), и работников, осуществляющих профессиональную деятельность по должностям служащих и по профессиям рабочих (далее - служащие и рабочие).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Оплата труда обеспечивающих работников, служащих и рабочих в органах местного самоуправления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" состоит из окладов, выплат компенсационного и стимулирующего характера.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2. Установить размеры окладов обеспечивающих работников в органах местного самоуправления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согласно приложению N 1 к настоящему Положению.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Установить размеры окладов служащих и рабочих в органах местного самоуправления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" согласно приложению N 2 к настоящему Положению.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Размеры окладов обеспечивающих работников, служащих и рабочих государственных органов Калужской области индексируются законом Калужской области.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Установить, что при индексации окладов обеспечивающих работников, служащих и рабочих органов местного самоуправления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" их размеры подлежат округлению до целого рубля в сторону увеличения.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3. Установить виды, условия применения и размеры выплат стимулирующего характера обеспечивающим работникам, служащим и рабочим органов местного самоуправления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" согласно приложению N 4 к настоящему Положению.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4. Установить, что при формировании фонда оплаты труда обеспечивающих работников, служащих и рабочих органов местного самоуправления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»" на календарный год предусматриваются средства в размере 34,5 оклада обеспечивающих работников, служащих и рабочих органов местного самоуправления сельского поселения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»".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5. Объем бюджетных ассигнований на оплату труда обеспечивающих работников, служащих и рабочих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", предусматриваемый в местном бюджете, не подлежит уменьшению, за исключением случаев реорганизации, ликвидации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Приложение N 1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к Положению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"Об установлении системы оплаты труда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работников органов местного самоуправления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сельского поселения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», замещающих должности,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не являющиеся должностями муниципальной службы.</w:t>
      </w:r>
    </w:p>
    <w:p w:rsidR="00441C8A" w:rsidRPr="00441C8A" w:rsidRDefault="00441C8A" w:rsidP="00441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РАЗМЕРЫ ОКЛАДОВ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ОБЕСПЕЧИВАЮЩИХ РАБОТНИКОВ ОРГАНОВ МЕСТНОГО САМОУПРАВЛЕНИЯ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jc w:val="center"/>
        <w:tblCellMar>
          <w:left w:w="0" w:type="dxa"/>
          <w:right w:w="0" w:type="dxa"/>
        </w:tblCellMar>
        <w:tblLook w:val="04A0"/>
      </w:tblPr>
      <w:tblGrid>
        <w:gridCol w:w="15574"/>
        <w:gridCol w:w="6026"/>
      </w:tblGrid>
      <w:tr w:rsidR="00441C8A" w:rsidRPr="00441C8A" w:rsidTr="00441C8A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Размеры</w:t>
            </w:r>
          </w:p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окладов,</w:t>
            </w:r>
          </w:p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41C8A" w:rsidRPr="00441C8A" w:rsidTr="00441C8A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инспектор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5307</w:t>
            </w:r>
          </w:p>
        </w:tc>
      </w:tr>
    </w:tbl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Приложение N 2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к Положению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"Об установлении системы оплаты труда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работников органов местного самоуправления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»", замещающих должности,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не являющиеся должностями муниципальной службы,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и работников, осуществляющих профессиональную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деятельность по должностям служащих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и по профессиям рабочих"</w:t>
      </w:r>
    </w:p>
    <w:p w:rsidR="00441C8A" w:rsidRPr="00441C8A" w:rsidRDefault="00441C8A" w:rsidP="00441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РАЗМЕРЫ ОКЛАДОВ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СЛУЖАЩИХ И РАБОЧИХ АДМИНИСТРАЦИИ СП «СЕЛО КРЕМЕНСКОЕ»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jc w:val="center"/>
        <w:tblCellMar>
          <w:left w:w="0" w:type="dxa"/>
          <w:right w:w="0" w:type="dxa"/>
        </w:tblCellMar>
        <w:tblLook w:val="04A0"/>
      </w:tblPr>
      <w:tblGrid>
        <w:gridCol w:w="1522"/>
        <w:gridCol w:w="17099"/>
        <w:gridCol w:w="2979"/>
      </w:tblGrid>
      <w:tr w:rsidR="00441C8A" w:rsidRPr="00441C8A" w:rsidTr="00441C8A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</w:p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</w:t>
            </w:r>
          </w:p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группа/квалификационный уровень </w:t>
            </w:r>
            <w:hyperlink r:id="rId4" w:anchor="Par191#Par191" w:history="1">
              <w:r w:rsidRPr="00441C8A">
                <w:rPr>
                  <w:rFonts w:ascii="Times New Roman" w:eastAsia="Times New Roman" w:hAnsi="Times New Roman" w:cs="Times New Roman"/>
                  <w:color w:val="0F314D"/>
                  <w:sz w:val="28"/>
                  <w:szCs w:val="28"/>
                  <w:u w:val="single"/>
                </w:rPr>
                <w:t>&lt;1&gt;</w:t>
              </w:r>
            </w:hyperlink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Размеры</w:t>
            </w:r>
          </w:p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окладов,</w:t>
            </w:r>
          </w:p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41C8A" w:rsidRPr="00441C8A" w:rsidTr="00441C8A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Par170"/>
            <w:bookmarkEnd w:id="0"/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Должности, отнесенные к ПКГ "Общеотраслевые профессии</w:t>
            </w:r>
          </w:p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рабочих первого уровня"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1C8A" w:rsidRPr="00441C8A" w:rsidTr="00441C8A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1 квалификационный уровень (кочегар, тех.служащий)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4611</w:t>
            </w:r>
          </w:p>
        </w:tc>
      </w:tr>
      <w:tr w:rsidR="00441C8A" w:rsidRPr="00441C8A" w:rsidTr="00441C8A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Par177"/>
            <w:bookmarkEnd w:id="1"/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Должности, отнесенные к ПКГ "Общеотраслевые профессии</w:t>
            </w:r>
          </w:p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рабочих второго уровня"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1C8A" w:rsidRPr="00441C8A" w:rsidTr="00441C8A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1 квалификационный уровень (водитель)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441C8A" w:rsidRPr="00441C8A" w:rsidRDefault="00441C8A" w:rsidP="00441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C8A">
              <w:rPr>
                <w:rFonts w:ascii="Times New Roman" w:eastAsia="Times New Roman" w:hAnsi="Times New Roman" w:cs="Times New Roman"/>
                <w:sz w:val="28"/>
                <w:szCs w:val="28"/>
              </w:rPr>
              <w:t>4846</w:t>
            </w:r>
          </w:p>
        </w:tc>
      </w:tr>
    </w:tbl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66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--------------------------------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Примечание.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&lt;1&gt; Квалификационный уровень определяется в соответствии с приказом Министерства здравоохранения и социального развития Российской Федерации от 29 мая 2008 г. N 247н "Об утверждении профессиональных квалификационных групп общеотраслевых должностей руководителей, специалистов и служащих", приказом Министерства здравоохранения и социального развития Российской Федерации от 29 мая 2008 г. N 248н "Об утверждении профессиональных квалификационных групп общеотраслевых профессий рабочих".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&lt;2&gt; Должностной оклад раздела "4 квалификационный уровень" профессиональной квалификационной группы "Общеотраслевые профессии рабочих второго уровня" устанавливается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 Вопрос об установлении конкретному рабочему должностного оклада, предусмотренного разделом "4 квалификационный уровень" профессиональной квалификационной группы "Общеотраслевые профессии рабочих второго уровня", решается работодателем по согласованию с представительным органом работников с учетом квалификации, объема и качества выполняемых им работ в пределах средств, направляемых на оплату труда. Указанная оплата может носить как постоянный, так и временный характер.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Приложение N 3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к Положению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"Об установлении системы оплаты труда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работников органов местного самоуправления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", замещающих должности,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не являющиеся должностями муниципальной службы,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и работников, осуществляющих профессиональную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деятельность по должностям служащих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t>и по профессиям рабочих"</w:t>
      </w:r>
    </w:p>
    <w:p w:rsidR="00441C8A" w:rsidRPr="00441C8A" w:rsidRDefault="00441C8A" w:rsidP="00441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ВИДЫ, УСЛОВИЯ ПРИМЕНЕНИЯ И РАЗМЕРЫ ВЫПЛАТ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СТИМУЛИРУЮЩЕГО ХАРАКТЕРА ОБЕСПЕЧИВАЮЩИМ РАБОТНИКАМ,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СЛУЖАЩИМ И РАБОЧИМ ОРГАНОВ МЕСТНОГО САМОУПРАВЛЕНИЯ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МР "ТАРУССКИЙ РАЙОН"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Раздел I. ВЫПЛАТЫ СТИМУЛИРУЮЩЕГО ХАРАКТЕРА ОБЕСПЕЧИВАЮЩИМ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РАБОТНИКАМ</w:t>
      </w:r>
    </w:p>
    <w:p w:rsidR="00441C8A" w:rsidRPr="00441C8A" w:rsidRDefault="00441C8A" w:rsidP="00441C8A">
      <w:pPr>
        <w:shd w:val="clear" w:color="auto" w:fill="FFFFFF"/>
        <w:spacing w:after="66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Выплаты стимулирующего характера применяются в целях материального поощрения труда обеспечивающих работников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»".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1.1. К выплатам стимулирующего характера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относятся: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надбавка за сложность и напряженность в работе;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ежемесячная надбавка к окладу за выслугу лет;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денежное поощрение за безупречную и эффективную работу, другие достижения в труде;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премии по результатам работы;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единовременная выплата при предоставлении ежегодного оплачиваемого отпуска;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материальная помощь.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1.2. Условия применения и размеры стимулирующих выплат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1.2.1. Надбавка за сложность и напряженность в работе устанавливается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ежемесячно в размере до 50 процентов оклада.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Ежемесячная надбавка за сложность и напряженность в работе выплачивается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»" за фактически отработанное время.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1.2.2. Ежемесячная надбавка к окладу за выслугу лет устанавливается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в следующих размерах: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от 3 до 8 лет - 10 процентов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от 8 до 13 лет - 15 процентов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от 13 до 18 лет - 20 процентов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от 18 до 23 лет - 25 процентов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свыше 23 лет - 30 процентов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В стаж работы, дающий право на получение ежемесячной надбавки к окладу за выслугу лет, включаются периоды работы, установленные приказом Министерства здравоохранения и социального развития Российской Федерации от 27 декабря 2007 г. N 808 "Об утверждении Положения об исчислении стажа работы работников федеральных государственных органов, замещающих должности, не являющиеся должностями федеральной государственной гражданской службы, для выплаты им ежемесячной надбавки к должностному окладу за выслугу лет".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1.2.3. Денежное поощрение за безупречную и эффективную работу, другие достижения в труде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устанавливается ежемесячно в размере 70 процентов оклада.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.1.2.4. Единовременная выплата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производится при предоставлении ежегодного оплачиваемого отпуска 1 раз в год в размере 2 окладов.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1.2.5. Материальная помощь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»" выплачивается в пределах средств фонда оплаты труда обеспечивающих работников, служащих и рабочих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Размер, порядок и условия оказания материальной помощи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»" устанавливаются в соответствии с законодательством коллективными договорами, соглашениями, локальными нормативными актами работодателя, принятыми с учетом мнения выборного профсоюзного или иного представительного органа работников органов местного самоуправления.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1.3. Обеспечивающим работникам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" производятся иные выплаты, предусмотренные соответствующими нормативными правовыми актами Российской Федерации, Калужской области и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".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Раздел II. ВЫПЛАТЫ СТИМУЛИРУЮЩЕГО ХАРАКТЕРА СЛУЖАЩИМ</w:t>
      </w:r>
    </w:p>
    <w:p w:rsidR="00441C8A" w:rsidRPr="00441C8A" w:rsidRDefault="00441C8A" w:rsidP="00441C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b/>
          <w:bCs/>
          <w:color w:val="000000"/>
          <w:sz w:val="28"/>
          <w:szCs w:val="28"/>
        </w:rPr>
        <w:t>И РАБОЧИМ</w:t>
      </w:r>
    </w:p>
    <w:p w:rsidR="00441C8A" w:rsidRPr="00441C8A" w:rsidRDefault="00441C8A" w:rsidP="00441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Выплаты стимулирующего характера применяются в целях материального поощрения труда служащих и рабочих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2.1. К выплатам стимулирующего характера служащим и рабочим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относятся: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- надбавка за интенсивность и высокие результаты работы;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- надбавка водителям автомобилей за классность;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- премия по результатам работы;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- единовременная выплата при предоставлении ежегодного оплачиваемого отпуска в размере 2 должностных окладов;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- материальная помощь в размере 1 должностного оклада.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2.2. Условия применения и размеры стимулирующих выплат служащим и рабочим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2.2.1. Надбавка за интенсивность и высокие результаты работы устанавливается служащим и рабочим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ежемесячно в размере до 50 процентов оклада.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Ежемесячная надбавка за сложность, напряженность и высокие достижения в труде выплачивается служащим и рабочим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за фактически отработанное время.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>2.2.2. Надбавка за классность устанавливается водителям автомобилей, имеющим 1-й класс, в размере 25 процентов оклада; имеющим 2-й класс, - в размере 10 процентов оклада.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2.2.3. Премирование служащих и рабочих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производится по результатам работы в целях повышения материальной заинтересованности в результатах своего труда, создания условий для проявления профессионализма, творческой активности и инициативы, повышения качества выполняемых ими работ.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Размер, порядок и условия премирования служащих и рабочих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" по результатам работы устанавливаются в соответствии с законодательством коллективными договорами, соглашениями, локальными нормативными актами работодателя, принятыми с учетом мнения выборного профсоюзного или иного представительного органа работников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". Размер премии не ограничивается.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2.2.4. Единовременная выплата служащим и рабочим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 производится при предоставлении ежегодного оплачиваемого отпуска 1 раз в год в размере 2 окладов.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2.2.5. Материальная помощь служащим и рабочим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" выплачивается в пределах средств фонда оплаты труда обеспечивающих работников, служащих и рабочих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Размер, порядок и условия оказания материальной помощи служащим и рабочим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»" устанавливаются в соответствии с законодательством коллективными договорами, соглашениями, локальными нормативными актами работодателя, принятыми с учетом мнения выборного профсоюзного или иного представительного органа работников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".</w:t>
      </w:r>
      <w:r w:rsidRPr="00441C8A">
        <w:rPr>
          <w:rFonts w:ascii="Arial" w:eastAsia="Times New Roman" w:hAnsi="Arial" w:cs="Arial"/>
          <w:color w:val="000000"/>
          <w:sz w:val="28"/>
          <w:szCs w:val="28"/>
        </w:rPr>
        <w:br/>
        <w:t xml:space="preserve">2.3. Служащим и рабочим органов местного самоуправления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 xml:space="preserve">" производятся иные выплаты, предусмотренные соответствующими нормативными правовыми актами Российской Федерации, Калужской области и СП «Село </w:t>
      </w:r>
      <w:proofErr w:type="spellStart"/>
      <w:r w:rsidRPr="00441C8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41C8A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9A2CB1" w:rsidRPr="00441C8A" w:rsidRDefault="009A2CB1">
      <w:pPr>
        <w:rPr>
          <w:sz w:val="28"/>
          <w:szCs w:val="28"/>
        </w:rPr>
      </w:pPr>
    </w:p>
    <w:sectPr w:rsidR="009A2CB1" w:rsidRPr="00441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441C8A"/>
    <w:rsid w:val="00441C8A"/>
    <w:rsid w:val="009A2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1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41C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manage-pc3\%D1%81%D0%BE%D0%BF%D1%80%D0%BE%D0%B2%D0%BE%D0%B6%D0%B4%D0%B5%D0%BD%D0%B8%D0%B5\25.01\+-%20%D0%BA%D1%80%D0%B5%D0%BC%D0%B5%D0%BD%D1%81%D0%BA%D0%BE%D0%B5%20(%D0%9E)\%D0%A1%D0%B5%D1%81%D1%81%D0%B8%D1%8F%2025.06.2013\%D0%9F%D0%BE%D0%BB%D0%BE%D0%B6%D0%B5%D0%BD%D0%B8%D0%B5%20%D0%BE%D0%B1%20%D0%BE%D0%BF%D0%BB%D0%B0%D1%82%D0%B5%20%D1%82%D1%80%D0%BA%D0%B4%D0%B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2015</Words>
  <Characters>11486</Characters>
  <Application>Microsoft Office Word</Application>
  <DocSecurity>0</DocSecurity>
  <Lines>95</Lines>
  <Paragraphs>26</Paragraphs>
  <ScaleCrop>false</ScaleCrop>
  <Company>Microsoft</Company>
  <LinksUpToDate>false</LinksUpToDate>
  <CharactersWithSpaces>13475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2023-05-22T13:06:00Z</dcterms:created>
  <dcterms:modified xsi:type="dcterms:W3CDTF">2023-05-22T13:06:00Z</dcterms:modified>
</cp:coreProperties>
</file>